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FAF0D" w14:textId="77777777" w:rsidR="006C0694" w:rsidRPr="0085622D" w:rsidRDefault="006C0694" w:rsidP="00C00401">
      <w:pPr>
        <w:rPr>
          <w:rFonts w:cs="Open Sans"/>
        </w:rPr>
      </w:pPr>
    </w:p>
    <w:p w14:paraId="35020520" w14:textId="2CE49AB6" w:rsidR="00052C56" w:rsidRPr="0085622D" w:rsidRDefault="00577EEE" w:rsidP="00803EB2">
      <w:pPr>
        <w:pStyle w:val="Nadpis1"/>
        <w:rPr>
          <w:rFonts w:cs="Open Sans"/>
        </w:rPr>
      </w:pPr>
      <w:r w:rsidRPr="00577EEE">
        <w:rPr>
          <w:rFonts w:cs="Open Sans"/>
        </w:rPr>
        <w:t xml:space="preserve">Festivalová sezóna je tu. </w:t>
      </w:r>
      <w:r w:rsidR="009B4EE8">
        <w:rPr>
          <w:rFonts w:cs="Open Sans"/>
        </w:rPr>
        <w:t>Nečekané okolnosti však akci dokáží narušit</w:t>
      </w:r>
    </w:p>
    <w:p w14:paraId="07659C66" w14:textId="64A0FD07" w:rsidR="00D07D7E" w:rsidRPr="00A728B2" w:rsidRDefault="00F50622" w:rsidP="00D07D7E">
      <w:r>
        <w:rPr>
          <w:rFonts w:cs="Open Sans"/>
          <w:b/>
          <w:bCs/>
        </w:rPr>
        <w:t xml:space="preserve">Praha </w:t>
      </w:r>
      <w:r w:rsidR="004550AD">
        <w:rPr>
          <w:rFonts w:cs="Open Sans"/>
          <w:b/>
          <w:bCs/>
        </w:rPr>
        <w:t>10</w:t>
      </w:r>
      <w:r>
        <w:rPr>
          <w:rFonts w:cs="Open Sans"/>
          <w:b/>
          <w:bCs/>
        </w:rPr>
        <w:t>. červ</w:t>
      </w:r>
      <w:r w:rsidR="0038225D">
        <w:rPr>
          <w:rFonts w:cs="Open Sans"/>
          <w:b/>
          <w:bCs/>
        </w:rPr>
        <w:t>ence</w:t>
      </w:r>
      <w:r>
        <w:rPr>
          <w:rFonts w:cs="Open Sans"/>
          <w:b/>
          <w:bCs/>
        </w:rPr>
        <w:t xml:space="preserve"> 2024 – </w:t>
      </w:r>
      <w:r w:rsidR="00D07D7E" w:rsidRPr="00D07D7E">
        <w:rPr>
          <w:rFonts w:cs="Open Sans"/>
          <w:b/>
          <w:bCs/>
        </w:rPr>
        <w:t xml:space="preserve">S blížícím se létem opět </w:t>
      </w:r>
      <w:r w:rsidR="00E766C4">
        <w:rPr>
          <w:rFonts w:cs="Open Sans"/>
          <w:b/>
          <w:bCs/>
        </w:rPr>
        <w:t>startuje</w:t>
      </w:r>
      <w:r w:rsidR="00D07D7E" w:rsidRPr="00D07D7E">
        <w:rPr>
          <w:rFonts w:cs="Open Sans"/>
          <w:b/>
          <w:bCs/>
        </w:rPr>
        <w:t xml:space="preserve"> festivalová sezóna. Pořadatelé velkých hudebních</w:t>
      </w:r>
      <w:r w:rsidR="00A728B2">
        <w:rPr>
          <w:rFonts w:cs="Open Sans"/>
          <w:b/>
          <w:bCs/>
        </w:rPr>
        <w:t xml:space="preserve"> i</w:t>
      </w:r>
      <w:r w:rsidR="00D07D7E" w:rsidRPr="00D07D7E">
        <w:rPr>
          <w:rFonts w:cs="Open Sans"/>
          <w:b/>
          <w:bCs/>
        </w:rPr>
        <w:t xml:space="preserve"> sportovních akcí </w:t>
      </w:r>
      <w:r w:rsidR="009D782F">
        <w:rPr>
          <w:rFonts w:cs="Open Sans"/>
          <w:b/>
          <w:bCs/>
        </w:rPr>
        <w:t xml:space="preserve">s předstihem </w:t>
      </w:r>
      <w:r w:rsidR="009E6510">
        <w:rPr>
          <w:rFonts w:cs="Open Sans"/>
          <w:b/>
          <w:bCs/>
        </w:rPr>
        <w:t>řeší</w:t>
      </w:r>
      <w:r w:rsidR="00D07D7E" w:rsidRPr="00D07D7E">
        <w:rPr>
          <w:rFonts w:cs="Open Sans"/>
          <w:b/>
          <w:bCs/>
        </w:rPr>
        <w:t xml:space="preserve"> nejen program a logistiku, ale také pojištění pro případ neočekávaných událostí.</w:t>
      </w:r>
      <w:r w:rsidR="00820CD5">
        <w:rPr>
          <w:rFonts w:cs="Open Sans"/>
          <w:b/>
          <w:bCs/>
        </w:rPr>
        <w:t xml:space="preserve"> </w:t>
      </w:r>
      <w:r w:rsidR="00AF4940">
        <w:rPr>
          <w:rFonts w:cs="Open Sans"/>
          <w:b/>
          <w:bCs/>
          <w:kern w:val="0"/>
          <w14:ligatures w14:val="none"/>
        </w:rPr>
        <w:t>Organizátoři se chtějí ochránit proti nenadálým okolnostem</w:t>
      </w:r>
      <w:r w:rsidR="00C6772C">
        <w:rPr>
          <w:rFonts w:cs="Open Sans"/>
          <w:b/>
          <w:bCs/>
        </w:rPr>
        <w:t xml:space="preserve"> – b</w:t>
      </w:r>
      <w:r w:rsidR="00A728B2">
        <w:rPr>
          <w:rFonts w:cs="Open Sans"/>
          <w:b/>
          <w:bCs/>
        </w:rPr>
        <w:t>ěžně</w:t>
      </w:r>
      <w:r w:rsidR="00A728B2" w:rsidRPr="00820CD5">
        <w:rPr>
          <w:rFonts w:cs="Open Sans"/>
          <w:b/>
          <w:bCs/>
        </w:rPr>
        <w:t xml:space="preserve"> mezi ně</w:t>
      </w:r>
      <w:r w:rsidR="00A728B2">
        <w:rPr>
          <w:rFonts w:cs="Open Sans"/>
          <w:b/>
          <w:bCs/>
        </w:rPr>
        <w:t xml:space="preserve"> patří</w:t>
      </w:r>
      <w:r w:rsidR="00A728B2" w:rsidRPr="00820CD5">
        <w:rPr>
          <w:rFonts w:cs="Open Sans"/>
          <w:b/>
          <w:bCs/>
        </w:rPr>
        <w:t xml:space="preserve"> například </w:t>
      </w:r>
      <w:r w:rsidR="00A728B2">
        <w:rPr>
          <w:b/>
          <w:bCs/>
        </w:rPr>
        <w:t xml:space="preserve">náklady nad rámec plánovaného rozpočtu </w:t>
      </w:r>
      <w:r w:rsidR="00820CD5" w:rsidRPr="00820CD5">
        <w:rPr>
          <w:rFonts w:cs="Open Sans"/>
          <w:b/>
          <w:bCs/>
        </w:rPr>
        <w:t>a ztráty způsobené zrušením</w:t>
      </w:r>
      <w:r w:rsidR="00A728B2">
        <w:rPr>
          <w:rFonts w:cs="Open Sans"/>
          <w:b/>
          <w:bCs/>
        </w:rPr>
        <w:t xml:space="preserve"> nebo </w:t>
      </w:r>
      <w:r w:rsidR="00820CD5" w:rsidRPr="00820CD5">
        <w:rPr>
          <w:rFonts w:cs="Open Sans"/>
          <w:b/>
          <w:bCs/>
        </w:rPr>
        <w:t>odložením</w:t>
      </w:r>
      <w:r w:rsidR="00A728B2">
        <w:rPr>
          <w:rFonts w:cs="Open Sans"/>
          <w:b/>
          <w:bCs/>
        </w:rPr>
        <w:t xml:space="preserve"> </w:t>
      </w:r>
      <w:r w:rsidR="00820CD5" w:rsidRPr="00820CD5">
        <w:rPr>
          <w:rFonts w:cs="Open Sans"/>
          <w:b/>
          <w:bCs/>
        </w:rPr>
        <w:t xml:space="preserve">akce. </w:t>
      </w:r>
      <w:r w:rsidR="00A728B2">
        <w:rPr>
          <w:rFonts w:cs="Open Sans"/>
          <w:b/>
          <w:bCs/>
        </w:rPr>
        <w:t>Pořadatelé dále řeší pojištění</w:t>
      </w:r>
      <w:r w:rsidR="00820CD5" w:rsidRPr="00820CD5">
        <w:rPr>
          <w:rFonts w:cs="Open Sans"/>
          <w:b/>
          <w:bCs/>
        </w:rPr>
        <w:t xml:space="preserve"> proti nepřízni počasí, neúčasti klíčových účinkujících nebo </w:t>
      </w:r>
      <w:r w:rsidR="000E603B">
        <w:rPr>
          <w:rFonts w:cs="Open Sans"/>
          <w:b/>
          <w:bCs/>
        </w:rPr>
        <w:t>ovlivnění</w:t>
      </w:r>
      <w:r w:rsidR="00820CD5" w:rsidRPr="00820CD5">
        <w:rPr>
          <w:rFonts w:cs="Open Sans"/>
          <w:b/>
          <w:bCs/>
        </w:rPr>
        <w:t xml:space="preserve"> akce úředním zásahem.</w:t>
      </w:r>
    </w:p>
    <w:p w14:paraId="2629C920" w14:textId="41456FA4" w:rsidR="00D07D7E" w:rsidRPr="00820CD5" w:rsidRDefault="00274D63" w:rsidP="00D07D7E">
      <w:pPr>
        <w:rPr>
          <w:rFonts w:cs="Open Sans"/>
        </w:rPr>
      </w:pPr>
      <w:r>
        <w:rPr>
          <w:rFonts w:eastAsia="Times New Roman" w:cs="Open Sans"/>
          <w:kern w:val="0"/>
          <w14:ligatures w14:val="none"/>
        </w:rPr>
        <w:t xml:space="preserve">Při pořádání velkých festivalů a akcí je třeba hodně plánovat, soustředit se na přípravu a s tím souvisí i předcházení </w:t>
      </w:r>
      <w:r w:rsidR="00FD22E2">
        <w:rPr>
          <w:rFonts w:eastAsia="Times New Roman" w:cs="Open Sans"/>
        </w:rPr>
        <w:t>p</w:t>
      </w:r>
      <w:r w:rsidR="00EC1799">
        <w:rPr>
          <w:rFonts w:eastAsia="Times New Roman" w:cs="Open Sans"/>
        </w:rPr>
        <w:t>otenciální</w:t>
      </w:r>
      <w:r w:rsidR="00FD22E2">
        <w:rPr>
          <w:rFonts w:eastAsia="Times New Roman" w:cs="Open Sans"/>
        </w:rPr>
        <w:t>m</w:t>
      </w:r>
      <w:r w:rsidR="00EC1799">
        <w:rPr>
          <w:rFonts w:eastAsia="Times New Roman" w:cs="Open Sans"/>
        </w:rPr>
        <w:t xml:space="preserve"> </w:t>
      </w:r>
      <w:r>
        <w:rPr>
          <w:rFonts w:eastAsia="Times New Roman" w:cs="Open Sans"/>
        </w:rPr>
        <w:t>komplikacím</w:t>
      </w:r>
      <w:r w:rsidR="00FD22E2">
        <w:rPr>
          <w:rFonts w:eastAsia="Times New Roman" w:cs="Open Sans"/>
        </w:rPr>
        <w:t xml:space="preserve"> tak</w:t>
      </w:r>
      <w:r w:rsidR="00D07D7E" w:rsidRPr="00D07D7E">
        <w:rPr>
          <w:rFonts w:eastAsia="Times New Roman" w:cs="Open Sans"/>
        </w:rPr>
        <w:t xml:space="preserve">, </w:t>
      </w:r>
      <w:r w:rsidR="00FD22E2">
        <w:rPr>
          <w:rFonts w:eastAsia="Times New Roman" w:cs="Open Sans"/>
        </w:rPr>
        <w:t xml:space="preserve">aby byl </w:t>
      </w:r>
      <w:r w:rsidR="00957E06">
        <w:rPr>
          <w:rFonts w:eastAsia="Times New Roman" w:cs="Open Sans"/>
        </w:rPr>
        <w:t xml:space="preserve">co možná nejlépe </w:t>
      </w:r>
      <w:r w:rsidR="00FD22E2">
        <w:rPr>
          <w:rFonts w:eastAsia="Times New Roman" w:cs="Open Sans"/>
        </w:rPr>
        <w:t>ochráněn</w:t>
      </w:r>
      <w:r w:rsidR="00D07D7E" w:rsidRPr="00D07D7E">
        <w:rPr>
          <w:rFonts w:eastAsia="Times New Roman" w:cs="Open Sans"/>
        </w:rPr>
        <w:t xml:space="preserve"> nejen průběh samotné akce, ale také zdraví návštěvníků i účinkujících.</w:t>
      </w:r>
      <w:r w:rsidR="00820CD5">
        <w:rPr>
          <w:rFonts w:eastAsia="Times New Roman" w:cs="Open Sans"/>
        </w:rPr>
        <w:t xml:space="preserve"> </w:t>
      </w:r>
      <w:r w:rsidR="00B73C1A">
        <w:rPr>
          <w:rFonts w:eastAsia="Times New Roman" w:cs="Open Sans"/>
        </w:rPr>
        <w:t>Jen tak si z akce odnesou nezapomenutelný, pozitivní zážitek.</w:t>
      </w:r>
    </w:p>
    <w:p w14:paraId="77EA8DC6" w14:textId="46CF9204" w:rsidR="00820CD5" w:rsidRDefault="00423B80" w:rsidP="00D07D7E">
      <w:pPr>
        <w:rPr>
          <w:rFonts w:eastAsia="Times New Roman" w:cs="Open Sans"/>
        </w:rPr>
      </w:pPr>
      <w:r w:rsidRPr="00423B80">
        <w:rPr>
          <w:rFonts w:eastAsia="Times New Roman" w:cs="Open Sans"/>
          <w:i/>
          <w:iCs/>
        </w:rPr>
        <w:t>„</w:t>
      </w:r>
      <w:r w:rsidR="00D07D7E" w:rsidRPr="00423B80">
        <w:rPr>
          <w:rFonts w:eastAsia="Times New Roman" w:cs="Open Sans"/>
          <w:i/>
          <w:iCs/>
        </w:rPr>
        <w:t>Mezi hlavní rizika</w:t>
      </w:r>
      <w:r w:rsidR="008D6D4E">
        <w:rPr>
          <w:rFonts w:eastAsia="Times New Roman" w:cs="Open Sans"/>
          <w:i/>
          <w:iCs/>
        </w:rPr>
        <w:t xml:space="preserve"> pořádání festival</w:t>
      </w:r>
      <w:r w:rsidR="00797A44">
        <w:rPr>
          <w:rFonts w:eastAsia="Times New Roman" w:cs="Open Sans"/>
          <w:i/>
          <w:iCs/>
        </w:rPr>
        <w:t>u patří</w:t>
      </w:r>
      <w:r w:rsidR="00D07D7E" w:rsidRPr="00423B80">
        <w:rPr>
          <w:rFonts w:eastAsia="Times New Roman" w:cs="Open Sans"/>
          <w:i/>
          <w:iCs/>
        </w:rPr>
        <w:t xml:space="preserve"> například</w:t>
      </w:r>
      <w:r w:rsidR="00994C05">
        <w:rPr>
          <w:rFonts w:eastAsia="Times New Roman" w:cs="Open Sans"/>
          <w:i/>
          <w:iCs/>
        </w:rPr>
        <w:t xml:space="preserve"> jeho</w:t>
      </w:r>
      <w:r w:rsidR="00D07D7E" w:rsidRPr="00423B80">
        <w:rPr>
          <w:rFonts w:eastAsia="Times New Roman" w:cs="Open Sans"/>
          <w:i/>
          <w:iCs/>
        </w:rPr>
        <w:t xml:space="preserve"> zrušení nebo přerušení z důvodu nepříznivého počasí, přírodních katastrof, úředního zásahu nebo neúčasti klíčových účinkujících</w:t>
      </w:r>
      <w:r w:rsidRPr="00423B80">
        <w:rPr>
          <w:rFonts w:eastAsia="Times New Roman" w:cs="Open Sans"/>
          <w:i/>
          <w:iCs/>
        </w:rPr>
        <w:t>. Po</w:t>
      </w:r>
      <w:r w:rsidR="007A6DF6">
        <w:rPr>
          <w:rFonts w:eastAsia="Times New Roman" w:cs="Open Sans"/>
          <w:i/>
          <w:iCs/>
        </w:rPr>
        <w:t>jištění poté po</w:t>
      </w:r>
      <w:r w:rsidRPr="00423B80">
        <w:rPr>
          <w:rFonts w:eastAsia="Times New Roman" w:cs="Open Sans"/>
          <w:i/>
          <w:iCs/>
        </w:rPr>
        <w:t>řadatel</w:t>
      </w:r>
      <w:r w:rsidR="007A6DF6">
        <w:rPr>
          <w:rFonts w:eastAsia="Times New Roman" w:cs="Open Sans"/>
          <w:i/>
          <w:iCs/>
        </w:rPr>
        <w:t>ům</w:t>
      </w:r>
      <w:r w:rsidRPr="00423B80">
        <w:rPr>
          <w:rFonts w:eastAsia="Times New Roman" w:cs="Open Sans"/>
          <w:i/>
          <w:iCs/>
        </w:rPr>
        <w:t xml:space="preserve"> </w:t>
      </w:r>
      <w:r w:rsidR="007A6DF6">
        <w:rPr>
          <w:rFonts w:eastAsia="Times New Roman" w:cs="Open Sans"/>
          <w:i/>
          <w:iCs/>
        </w:rPr>
        <w:t>pomáhá</w:t>
      </w:r>
      <w:r w:rsidRPr="00423B80">
        <w:rPr>
          <w:rFonts w:eastAsia="Times New Roman" w:cs="Open Sans"/>
          <w:i/>
          <w:iCs/>
        </w:rPr>
        <w:t xml:space="preserve"> </w:t>
      </w:r>
      <w:r w:rsidR="007A6DF6">
        <w:rPr>
          <w:rFonts w:eastAsia="Times New Roman" w:cs="Open Sans"/>
          <w:i/>
          <w:iCs/>
        </w:rPr>
        <w:t>s pokrytím ztrát a</w:t>
      </w:r>
      <w:r w:rsidRPr="00423B80">
        <w:rPr>
          <w:rFonts w:eastAsia="Times New Roman" w:cs="Open Sans"/>
          <w:i/>
          <w:iCs/>
        </w:rPr>
        <w:t xml:space="preserve"> vícenáklad</w:t>
      </w:r>
      <w:r w:rsidR="007A6DF6">
        <w:rPr>
          <w:rFonts w:eastAsia="Times New Roman" w:cs="Open Sans"/>
          <w:i/>
          <w:iCs/>
        </w:rPr>
        <w:t>ů</w:t>
      </w:r>
      <w:r w:rsidRPr="00423B80">
        <w:rPr>
          <w:rFonts w:eastAsia="Times New Roman" w:cs="Open Sans"/>
          <w:i/>
          <w:iCs/>
        </w:rPr>
        <w:t xml:space="preserve"> způsobený</w:t>
      </w:r>
      <w:r w:rsidR="007A6DF6">
        <w:rPr>
          <w:rFonts w:eastAsia="Times New Roman" w:cs="Open Sans"/>
          <w:i/>
          <w:iCs/>
        </w:rPr>
        <w:t>ch</w:t>
      </w:r>
      <w:r w:rsidRPr="00423B80">
        <w:rPr>
          <w:rFonts w:eastAsia="Times New Roman" w:cs="Open Sans"/>
          <w:i/>
          <w:iCs/>
        </w:rPr>
        <w:t xml:space="preserve"> těmito událostmi,“</w:t>
      </w:r>
      <w:r>
        <w:rPr>
          <w:rFonts w:eastAsia="Times New Roman" w:cs="Open Sans"/>
        </w:rPr>
        <w:t xml:space="preserve"> </w:t>
      </w:r>
      <w:r w:rsidR="00EB001C">
        <w:rPr>
          <w:rFonts w:cs="Open Sans"/>
        </w:rPr>
        <w:t>uvádí</w:t>
      </w:r>
      <w:r w:rsidR="00EB001C" w:rsidRPr="00D07D7E">
        <w:rPr>
          <w:rFonts w:cs="Open Sans"/>
        </w:rPr>
        <w:t xml:space="preserve"> </w:t>
      </w:r>
      <w:r>
        <w:rPr>
          <w:rFonts w:eastAsia="Times New Roman" w:cs="Open Sans"/>
        </w:rPr>
        <w:t xml:space="preserve">David Staněk, </w:t>
      </w:r>
      <w:r w:rsidRPr="00D07D7E">
        <w:rPr>
          <w:rFonts w:cs="Open Sans"/>
        </w:rPr>
        <w:t>projektový manažer společnosti FinGO Business</w:t>
      </w:r>
      <w:r w:rsidR="00AA4991">
        <w:rPr>
          <w:rFonts w:cs="Open Sans"/>
        </w:rPr>
        <w:t>.</w:t>
      </w:r>
    </w:p>
    <w:p w14:paraId="2C1590FD" w14:textId="18309479" w:rsidR="00D07D7E" w:rsidRDefault="00423B80" w:rsidP="00D07D7E">
      <w:pPr>
        <w:rPr>
          <w:rFonts w:cs="Open Sans"/>
        </w:rPr>
      </w:pPr>
      <w:r w:rsidRPr="00423B80">
        <w:rPr>
          <w:rFonts w:eastAsia="Times New Roman" w:cs="Open Sans"/>
          <w:i/>
          <w:iCs/>
        </w:rPr>
        <w:t>„</w:t>
      </w:r>
      <w:r w:rsidR="00640BEE">
        <w:rPr>
          <w:rFonts w:eastAsia="Times New Roman" w:cs="Open Sans"/>
          <w:i/>
          <w:iCs/>
        </w:rPr>
        <w:t>V současnosti jsou velkou hrozbou</w:t>
      </w:r>
      <w:r w:rsidR="00D07D7E" w:rsidRPr="00423B80">
        <w:rPr>
          <w:rFonts w:eastAsia="Times New Roman" w:cs="Open Sans"/>
          <w:i/>
          <w:iCs/>
        </w:rPr>
        <w:t xml:space="preserve"> kybernetické útoky, které mohou narušit prodej vstupenek nebo ochromit technické zázemí akce</w:t>
      </w:r>
      <w:r w:rsidRPr="00423B80">
        <w:rPr>
          <w:rFonts w:eastAsia="Times New Roman" w:cs="Open Sans"/>
          <w:i/>
          <w:iCs/>
        </w:rPr>
        <w:t>,“</w:t>
      </w:r>
      <w:r>
        <w:rPr>
          <w:rFonts w:eastAsia="Times New Roman" w:cs="Open Sans"/>
        </w:rPr>
        <w:t xml:space="preserve"> </w:t>
      </w:r>
      <w:r w:rsidR="009B7112">
        <w:rPr>
          <w:rFonts w:eastAsia="Times New Roman" w:cs="Open Sans"/>
        </w:rPr>
        <w:t>popisuje</w:t>
      </w:r>
      <w:r>
        <w:rPr>
          <w:rFonts w:eastAsia="Times New Roman" w:cs="Open Sans"/>
        </w:rPr>
        <w:t xml:space="preserve"> </w:t>
      </w:r>
      <w:r w:rsidR="000D1BEF">
        <w:rPr>
          <w:rFonts w:eastAsia="Times New Roman" w:cs="Open Sans"/>
        </w:rPr>
        <w:t xml:space="preserve">David </w:t>
      </w:r>
      <w:r>
        <w:rPr>
          <w:rFonts w:eastAsia="Times New Roman" w:cs="Open Sans"/>
        </w:rPr>
        <w:t>Staněk.</w:t>
      </w:r>
      <w:r w:rsidR="00820CD5">
        <w:rPr>
          <w:rFonts w:eastAsia="Times New Roman" w:cs="Open Sans"/>
        </w:rPr>
        <w:t xml:space="preserve"> </w:t>
      </w:r>
      <w:r w:rsidR="00820CD5" w:rsidRPr="00D07D7E">
        <w:rPr>
          <w:rFonts w:cs="Open Sans"/>
        </w:rPr>
        <w:t xml:space="preserve">Mezi další </w:t>
      </w:r>
      <w:r w:rsidR="00480C54">
        <w:rPr>
          <w:rFonts w:cs="Open Sans"/>
        </w:rPr>
        <w:t>oblíbená</w:t>
      </w:r>
      <w:r w:rsidR="00820CD5" w:rsidRPr="00D07D7E">
        <w:rPr>
          <w:rFonts w:cs="Open Sans"/>
        </w:rPr>
        <w:t xml:space="preserve"> připojištění</w:t>
      </w:r>
      <w:r w:rsidR="00820CD5">
        <w:rPr>
          <w:rFonts w:cs="Open Sans"/>
        </w:rPr>
        <w:t xml:space="preserve"> proto</w:t>
      </w:r>
      <w:r w:rsidR="00820CD5" w:rsidRPr="00D07D7E">
        <w:rPr>
          <w:rFonts w:cs="Open Sans"/>
        </w:rPr>
        <w:t xml:space="preserve"> patří například ochrana proti kybernetickým hrozbám.</w:t>
      </w:r>
    </w:p>
    <w:p w14:paraId="0E468FF6" w14:textId="03FFE38A" w:rsidR="0090746C" w:rsidRPr="00820CD5" w:rsidRDefault="0090746C" w:rsidP="00D07D7E">
      <w:pPr>
        <w:rPr>
          <w:rFonts w:cs="Open Sans"/>
        </w:rPr>
      </w:pPr>
      <w:r w:rsidRPr="00D07D7E">
        <w:rPr>
          <w:rFonts w:cs="Open Sans"/>
        </w:rPr>
        <w:t xml:space="preserve">Pořadatelé </w:t>
      </w:r>
      <w:r>
        <w:rPr>
          <w:rFonts w:cs="Open Sans"/>
        </w:rPr>
        <w:t xml:space="preserve">si na jednorázovou akci </w:t>
      </w:r>
      <w:r w:rsidRPr="00D07D7E">
        <w:rPr>
          <w:rFonts w:cs="Open Sans"/>
        </w:rPr>
        <w:t>mohou sjednat</w:t>
      </w:r>
      <w:r>
        <w:rPr>
          <w:rFonts w:cs="Open Sans"/>
        </w:rPr>
        <w:t xml:space="preserve"> i </w:t>
      </w:r>
      <w:r w:rsidRPr="00D07D7E">
        <w:rPr>
          <w:rFonts w:cs="Open Sans"/>
        </w:rPr>
        <w:t>specializované pojištění odpovědnosti</w:t>
      </w:r>
      <w:r>
        <w:rPr>
          <w:rFonts w:cs="Open Sans"/>
        </w:rPr>
        <w:t xml:space="preserve">, které může chránit jak drahé </w:t>
      </w:r>
      <w:r w:rsidRPr="00D07D7E">
        <w:rPr>
          <w:rFonts w:cs="Open Sans"/>
        </w:rPr>
        <w:t>vybavení a elektronik</w:t>
      </w:r>
      <w:r>
        <w:rPr>
          <w:rFonts w:cs="Open Sans"/>
        </w:rPr>
        <w:t>u, tak i majetek účastníků akce.</w:t>
      </w:r>
    </w:p>
    <w:p w14:paraId="081E39E0" w14:textId="09E5676D" w:rsidR="00820CD5" w:rsidRDefault="00EF569D" w:rsidP="001E30CC">
      <w:pPr>
        <w:rPr>
          <w:rFonts w:eastAsia="Times New Roman" w:cs="Open Sans"/>
        </w:rPr>
      </w:pPr>
      <w:r>
        <w:rPr>
          <w:rFonts w:eastAsia="Times New Roman" w:cs="Open Sans"/>
        </w:rPr>
        <w:t>Vysoká</w:t>
      </w:r>
      <w:r w:rsidR="00D07D7E" w:rsidRPr="00D07D7E">
        <w:rPr>
          <w:rFonts w:eastAsia="Times New Roman" w:cs="Open Sans"/>
        </w:rPr>
        <w:t xml:space="preserve"> koncentrace lidí na jednom místě může vést k tlačenicím a</w:t>
      </w:r>
      <w:r w:rsidR="003B276A">
        <w:rPr>
          <w:rFonts w:eastAsia="Times New Roman" w:cs="Open Sans"/>
        </w:rPr>
        <w:t xml:space="preserve"> možným</w:t>
      </w:r>
      <w:r w:rsidR="00D07D7E" w:rsidRPr="00D07D7E">
        <w:rPr>
          <w:rFonts w:eastAsia="Times New Roman" w:cs="Open Sans"/>
        </w:rPr>
        <w:t xml:space="preserve"> zraněním návštěvníků. </w:t>
      </w:r>
      <w:r w:rsidR="00E57FF2" w:rsidRPr="00E57FF2">
        <w:rPr>
          <w:rFonts w:eastAsia="Times New Roman" w:cs="Open Sans"/>
          <w:i/>
          <w:iCs/>
        </w:rPr>
        <w:t>„</w:t>
      </w:r>
      <w:r w:rsidR="006258AB">
        <w:rPr>
          <w:rFonts w:eastAsia="Times New Roman" w:cs="Open Sans"/>
          <w:i/>
          <w:iCs/>
        </w:rPr>
        <w:t>Při pořádání hromadných akcí je vždy</w:t>
      </w:r>
      <w:r w:rsidR="00D07D7E" w:rsidRPr="00E57FF2">
        <w:rPr>
          <w:rFonts w:eastAsia="Times New Roman" w:cs="Open Sans"/>
          <w:i/>
          <w:iCs/>
        </w:rPr>
        <w:t xml:space="preserve"> nezbytné zajistit dostatečný počet bezpečnostních a zdravotnických pracovníků, jasně označené únikové cesty a efektivn</w:t>
      </w:r>
      <w:r w:rsidR="009209B3">
        <w:rPr>
          <w:rFonts w:eastAsia="Times New Roman" w:cs="Open Sans"/>
          <w:i/>
          <w:iCs/>
        </w:rPr>
        <w:t>ě</w:t>
      </w:r>
      <w:r w:rsidR="00D07D7E" w:rsidRPr="00E57FF2">
        <w:rPr>
          <w:rFonts w:eastAsia="Times New Roman" w:cs="Open Sans"/>
          <w:i/>
          <w:iCs/>
        </w:rPr>
        <w:t xml:space="preserve"> komunik</w:t>
      </w:r>
      <w:r w:rsidR="009209B3">
        <w:rPr>
          <w:rFonts w:eastAsia="Times New Roman" w:cs="Open Sans"/>
          <w:i/>
          <w:iCs/>
        </w:rPr>
        <w:t>ovat</w:t>
      </w:r>
      <w:r w:rsidR="00D07D7E" w:rsidRPr="00E57FF2">
        <w:rPr>
          <w:rFonts w:eastAsia="Times New Roman" w:cs="Open Sans"/>
          <w:i/>
          <w:iCs/>
        </w:rPr>
        <w:t xml:space="preserve"> s</w:t>
      </w:r>
      <w:r w:rsidR="00E57FF2" w:rsidRPr="00E57FF2">
        <w:rPr>
          <w:rFonts w:eastAsia="Times New Roman" w:cs="Open Sans"/>
          <w:i/>
          <w:iCs/>
        </w:rPr>
        <w:t> </w:t>
      </w:r>
      <w:r w:rsidR="00D07D7E" w:rsidRPr="00E57FF2">
        <w:rPr>
          <w:rFonts w:eastAsia="Times New Roman" w:cs="Open Sans"/>
          <w:i/>
          <w:iCs/>
        </w:rPr>
        <w:t>návštěvníky</w:t>
      </w:r>
      <w:r w:rsidR="00E57FF2" w:rsidRPr="00E57FF2">
        <w:rPr>
          <w:rFonts w:eastAsia="Times New Roman" w:cs="Open Sans"/>
          <w:i/>
          <w:iCs/>
        </w:rPr>
        <w:t>,“</w:t>
      </w:r>
      <w:r w:rsidR="00E57FF2">
        <w:rPr>
          <w:rFonts w:eastAsia="Times New Roman" w:cs="Open Sans"/>
        </w:rPr>
        <w:t xml:space="preserve"> </w:t>
      </w:r>
      <w:r w:rsidR="009B7112">
        <w:rPr>
          <w:rFonts w:eastAsia="Times New Roman" w:cs="Open Sans"/>
        </w:rPr>
        <w:t xml:space="preserve">vysvětluje </w:t>
      </w:r>
      <w:r w:rsidR="000E5A63">
        <w:rPr>
          <w:rFonts w:eastAsia="Times New Roman" w:cs="Open Sans"/>
        </w:rPr>
        <w:t xml:space="preserve">David </w:t>
      </w:r>
      <w:r w:rsidR="00E57FF2">
        <w:rPr>
          <w:rFonts w:eastAsia="Times New Roman" w:cs="Open Sans"/>
        </w:rPr>
        <w:t>Staněk</w:t>
      </w:r>
      <w:r w:rsidR="00AB4F6D">
        <w:rPr>
          <w:rFonts w:eastAsia="Times New Roman" w:cs="Open Sans"/>
        </w:rPr>
        <w:t xml:space="preserve"> a </w:t>
      </w:r>
      <w:r w:rsidR="00E0781B">
        <w:rPr>
          <w:rFonts w:eastAsia="Times New Roman" w:cs="Open Sans"/>
        </w:rPr>
        <w:t xml:space="preserve">doporučuje </w:t>
      </w:r>
      <w:r w:rsidR="008E5C9F">
        <w:rPr>
          <w:rFonts w:eastAsia="Times New Roman" w:cs="Open Sans"/>
        </w:rPr>
        <w:t>zřídit</w:t>
      </w:r>
      <w:r w:rsidR="00AB4F6D">
        <w:rPr>
          <w:rFonts w:eastAsia="Times New Roman" w:cs="Open Sans"/>
        </w:rPr>
        <w:t xml:space="preserve"> pojištění odpovědnosti</w:t>
      </w:r>
      <w:r w:rsidR="008E5C9F">
        <w:rPr>
          <w:rFonts w:eastAsia="Times New Roman" w:cs="Open Sans"/>
        </w:rPr>
        <w:t xml:space="preserve"> i na újmy na zdraví publika, a to </w:t>
      </w:r>
      <w:r w:rsidR="00AF0451">
        <w:rPr>
          <w:rFonts w:eastAsia="Times New Roman" w:cs="Open Sans"/>
        </w:rPr>
        <w:t xml:space="preserve">i </w:t>
      </w:r>
      <w:r w:rsidR="00AB4F6D">
        <w:rPr>
          <w:rFonts w:eastAsia="Times New Roman" w:cs="Open Sans"/>
          <w:kern w:val="0"/>
          <w14:ligatures w14:val="none"/>
        </w:rPr>
        <w:t xml:space="preserve">pokud má pořadatel zajištěnu </w:t>
      </w:r>
      <w:r w:rsidR="00AF0451">
        <w:rPr>
          <w:rFonts w:eastAsia="Times New Roman" w:cs="Open Sans"/>
        </w:rPr>
        <w:t xml:space="preserve">maximální </w:t>
      </w:r>
      <w:r w:rsidR="001C7637">
        <w:rPr>
          <w:rFonts w:eastAsia="Times New Roman" w:cs="Open Sans"/>
        </w:rPr>
        <w:t>prevenc</w:t>
      </w:r>
      <w:r w:rsidR="00AB4F6D">
        <w:rPr>
          <w:rFonts w:eastAsia="Times New Roman" w:cs="Open Sans"/>
        </w:rPr>
        <w:t>i</w:t>
      </w:r>
      <w:r w:rsidR="00E0781B">
        <w:rPr>
          <w:rFonts w:eastAsia="Times New Roman" w:cs="Open Sans"/>
        </w:rPr>
        <w:t>.</w:t>
      </w:r>
    </w:p>
    <w:p w14:paraId="1049FD48" w14:textId="7A7A200A" w:rsidR="00820CD5" w:rsidRPr="00D07D7E" w:rsidRDefault="0096749E" w:rsidP="001E30CC">
      <w:pPr>
        <w:rPr>
          <w:rFonts w:eastAsia="Times New Roman" w:cs="Open Sans"/>
        </w:rPr>
      </w:pPr>
      <w:r>
        <w:rPr>
          <w:rFonts w:eastAsia="Times New Roman" w:cs="Open Sans"/>
        </w:rPr>
        <w:t>Organizátoři</w:t>
      </w:r>
      <w:r w:rsidR="00820CD5" w:rsidRPr="00D07D7E">
        <w:rPr>
          <w:rFonts w:eastAsia="Times New Roman" w:cs="Open Sans"/>
        </w:rPr>
        <w:t xml:space="preserve"> festivalů</w:t>
      </w:r>
      <w:r>
        <w:rPr>
          <w:rFonts w:eastAsia="Times New Roman" w:cs="Open Sans"/>
        </w:rPr>
        <w:t xml:space="preserve"> mohou</w:t>
      </w:r>
      <w:r w:rsidR="00820CD5" w:rsidRPr="00D07D7E">
        <w:rPr>
          <w:rFonts w:eastAsia="Times New Roman" w:cs="Open Sans"/>
        </w:rPr>
        <w:t xml:space="preserve"> </w:t>
      </w:r>
      <w:r>
        <w:rPr>
          <w:rFonts w:eastAsia="Times New Roman" w:cs="Open Sans"/>
          <w:kern w:val="0"/>
          <w14:ligatures w14:val="none"/>
        </w:rPr>
        <w:t xml:space="preserve">na místě řešit i takové věci jako </w:t>
      </w:r>
      <w:r>
        <w:rPr>
          <w:rFonts w:eastAsia="Times New Roman" w:cs="Open Sans"/>
        </w:rPr>
        <w:t>nadměrnou</w:t>
      </w:r>
      <w:r w:rsidR="00820CD5" w:rsidRPr="00D07D7E">
        <w:rPr>
          <w:rFonts w:eastAsia="Times New Roman" w:cs="Open Sans"/>
        </w:rPr>
        <w:t xml:space="preserve"> konzumac</w:t>
      </w:r>
      <w:r>
        <w:rPr>
          <w:rFonts w:eastAsia="Times New Roman" w:cs="Open Sans"/>
        </w:rPr>
        <w:t>i</w:t>
      </w:r>
      <w:r w:rsidR="00820CD5" w:rsidRPr="00D07D7E">
        <w:rPr>
          <w:rFonts w:eastAsia="Times New Roman" w:cs="Open Sans"/>
        </w:rPr>
        <w:t xml:space="preserve"> alkoholu</w:t>
      </w:r>
      <w:r w:rsidR="009D3A0E">
        <w:rPr>
          <w:rFonts w:eastAsia="Times New Roman" w:cs="Open Sans"/>
        </w:rPr>
        <w:t xml:space="preserve"> </w:t>
      </w:r>
      <w:r>
        <w:rPr>
          <w:rFonts w:eastAsia="Times New Roman" w:cs="Open Sans"/>
        </w:rPr>
        <w:t>či</w:t>
      </w:r>
      <w:r w:rsidR="009D3A0E">
        <w:rPr>
          <w:rFonts w:eastAsia="Times New Roman" w:cs="Open Sans"/>
        </w:rPr>
        <w:t xml:space="preserve"> omamných látek</w:t>
      </w:r>
      <w:r w:rsidR="00820CD5" w:rsidRPr="00D07D7E">
        <w:rPr>
          <w:rFonts w:eastAsia="Times New Roman" w:cs="Open Sans"/>
        </w:rPr>
        <w:t>, krádež</w:t>
      </w:r>
      <w:r>
        <w:rPr>
          <w:rFonts w:eastAsia="Times New Roman" w:cs="Open Sans"/>
        </w:rPr>
        <w:t>e</w:t>
      </w:r>
      <w:r w:rsidR="00820CD5" w:rsidRPr="00D07D7E">
        <w:rPr>
          <w:rFonts w:eastAsia="Times New Roman" w:cs="Open Sans"/>
        </w:rPr>
        <w:t xml:space="preserve"> a násiln</w:t>
      </w:r>
      <w:r>
        <w:rPr>
          <w:rFonts w:eastAsia="Times New Roman" w:cs="Open Sans"/>
        </w:rPr>
        <w:t>é</w:t>
      </w:r>
      <w:r w:rsidR="00820CD5" w:rsidRPr="00D07D7E">
        <w:rPr>
          <w:rFonts w:eastAsia="Times New Roman" w:cs="Open Sans"/>
        </w:rPr>
        <w:t xml:space="preserve"> chování některých návštěvníků. Je </w:t>
      </w:r>
      <w:r w:rsidR="006102A2">
        <w:rPr>
          <w:rFonts w:eastAsia="Times New Roman" w:cs="Open Sans"/>
        </w:rPr>
        <w:t xml:space="preserve">proto </w:t>
      </w:r>
      <w:r w:rsidR="00820CD5" w:rsidRPr="00D07D7E">
        <w:rPr>
          <w:rFonts w:eastAsia="Times New Roman" w:cs="Open Sans"/>
        </w:rPr>
        <w:t xml:space="preserve">důležité mít nastavena jasná pravidla, </w:t>
      </w:r>
      <w:r w:rsidR="00F60A3D">
        <w:rPr>
          <w:rFonts w:eastAsia="Times New Roman" w:cs="Open Sans"/>
        </w:rPr>
        <w:t xml:space="preserve">provádět </w:t>
      </w:r>
      <w:r w:rsidR="00820CD5" w:rsidRPr="00D07D7E">
        <w:rPr>
          <w:rFonts w:eastAsia="Times New Roman" w:cs="Open Sans"/>
        </w:rPr>
        <w:t>kontroly u vstupů a spolupracovat s Policií ČR.</w:t>
      </w:r>
    </w:p>
    <w:p w14:paraId="293209D2" w14:textId="3EF1CE31" w:rsidR="00820CD5" w:rsidRDefault="009006D4" w:rsidP="00820CD5">
      <w:pPr>
        <w:rPr>
          <w:rFonts w:cs="Open Sans"/>
        </w:rPr>
      </w:pPr>
      <w:r w:rsidRPr="001036E9">
        <w:rPr>
          <w:rFonts w:cs="Open Sans"/>
        </w:rPr>
        <w:t xml:space="preserve">Pojištění festivalů a dalších velkých akcí je komplexní záležitostí, která vyžaduje pečlivé zvážení možných </w:t>
      </w:r>
      <w:r w:rsidR="00475A28">
        <w:rPr>
          <w:rFonts w:cs="Open Sans"/>
        </w:rPr>
        <w:t>nebezpečí</w:t>
      </w:r>
      <w:r w:rsidRPr="001036E9">
        <w:rPr>
          <w:rFonts w:cs="Open Sans"/>
        </w:rPr>
        <w:t>.</w:t>
      </w:r>
      <w:r w:rsidRPr="009D3A0E">
        <w:rPr>
          <w:rFonts w:cs="Open Sans"/>
          <w:i/>
          <w:iCs/>
        </w:rPr>
        <w:t xml:space="preserve"> </w:t>
      </w:r>
      <w:r w:rsidR="00D07D7E" w:rsidRPr="00D07D7E">
        <w:rPr>
          <w:rFonts w:cs="Open Sans"/>
          <w:i/>
          <w:iCs/>
        </w:rPr>
        <w:t>„Pojistné se vypočítává z předpokládaného počtu účastníků a samozřejmě i nároků účinkujících. Vzhledem k množství rizik, která lze pojistit, je velmi složité jednoduše odpovědět na otázku, kolik pojištění festivalu stojí,“</w:t>
      </w:r>
      <w:r w:rsidR="00D07D7E" w:rsidRPr="00D07D7E">
        <w:rPr>
          <w:rFonts w:cs="Open Sans"/>
        </w:rPr>
        <w:t xml:space="preserve"> </w:t>
      </w:r>
      <w:r w:rsidR="009B7112">
        <w:rPr>
          <w:rFonts w:eastAsia="Times New Roman" w:cs="Open Sans"/>
        </w:rPr>
        <w:t xml:space="preserve">bilancuje </w:t>
      </w:r>
      <w:r w:rsidR="00851DFC">
        <w:rPr>
          <w:rFonts w:eastAsia="Times New Roman" w:cs="Open Sans"/>
        </w:rPr>
        <w:t xml:space="preserve">David </w:t>
      </w:r>
      <w:r w:rsidR="00D07D7E" w:rsidRPr="00D07D7E">
        <w:rPr>
          <w:rFonts w:cs="Open Sans"/>
        </w:rPr>
        <w:t>Staněk</w:t>
      </w:r>
      <w:r w:rsidR="009D3A0E">
        <w:rPr>
          <w:rFonts w:cs="Open Sans"/>
        </w:rPr>
        <w:t xml:space="preserve">. </w:t>
      </w:r>
      <w:r w:rsidR="001036E9">
        <w:rPr>
          <w:rFonts w:cs="Open Sans"/>
          <w:i/>
          <w:iCs/>
        </w:rPr>
        <w:t>„</w:t>
      </w:r>
      <w:r w:rsidR="00820CD5" w:rsidRPr="009D3A0E">
        <w:rPr>
          <w:rFonts w:cs="Open Sans"/>
          <w:i/>
          <w:iCs/>
        </w:rPr>
        <w:t xml:space="preserve">Pro </w:t>
      </w:r>
      <w:r w:rsidR="00820CD5" w:rsidRPr="009D3A0E">
        <w:rPr>
          <w:rFonts w:cs="Open Sans"/>
          <w:i/>
          <w:iCs/>
        </w:rPr>
        <w:lastRenderedPageBreak/>
        <w:t>pořadatele je však nezbytné, aby ochránili sebe i návštěvníky před neočekávanými událostmi a zajistili hladký průběh akc</w:t>
      </w:r>
      <w:r>
        <w:rPr>
          <w:rFonts w:cs="Open Sans"/>
          <w:i/>
          <w:iCs/>
        </w:rPr>
        <w:t>e</w:t>
      </w:r>
      <w:r w:rsidR="009D3A0E">
        <w:rPr>
          <w:rFonts w:cs="Open Sans"/>
        </w:rPr>
        <w:t>,“ dodává.</w:t>
      </w:r>
    </w:p>
    <w:p w14:paraId="66655084" w14:textId="77777777" w:rsidR="00712072" w:rsidRPr="0085622D" w:rsidRDefault="00712072" w:rsidP="00C00401">
      <w:pPr>
        <w:rPr>
          <w:rFonts w:cs="Open Sans"/>
        </w:rPr>
      </w:pPr>
    </w:p>
    <w:p w14:paraId="57CEC546" w14:textId="58900392" w:rsidR="00712072" w:rsidRPr="0085622D" w:rsidRDefault="00712072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i/>
          <w:iCs/>
          <w:sz w:val="20"/>
          <w:szCs w:val="20"/>
        </w:rPr>
        <w:t>O společnosti FinGO:</w:t>
      </w:r>
    </w:p>
    <w:p w14:paraId="3272E8CB" w14:textId="77777777" w:rsidR="00712072" w:rsidRPr="0085622D" w:rsidRDefault="00712072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i/>
          <w:iCs/>
          <w:sz w:val="20"/>
          <w:szCs w:val="20"/>
        </w:rPr>
        <w:t>Digitální finančně-poradenská společnost FinGO.cz začala v České republice působit v roce 2021 s cílem přinést makléřům i klientům pohodlí, férovost a díky digitálním technologiím také příležitost, jak oslovit nové klienty. V současnosti má společnost přes 580 vázaných zástupců, kteří působí po celé České republice. V roce 2022 patřila k nejrychleji rostoucím makléřským společnostem, přičemž v oblasti úvěrů rostla nejrychleji ze všech.  Významný podíl produkce FinGO.cz pochází z online příležitostí, které společnost sama vytváří pro své vázané zástupce.</w:t>
      </w:r>
    </w:p>
    <w:p w14:paraId="6FEFC148" w14:textId="0398877F" w:rsidR="0096059C" w:rsidRPr="0085622D" w:rsidRDefault="00640C88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noProof/>
        </w:rPr>
        <w:drawing>
          <wp:anchor distT="0" distB="0" distL="114300" distR="114300" simplePos="0" relativeHeight="251665408" behindDoc="0" locked="0" layoutInCell="1" allowOverlap="1" wp14:anchorId="5942909A" wp14:editId="541BB038">
            <wp:simplePos x="0" y="0"/>
            <wp:positionH relativeFrom="margin">
              <wp:posOffset>5693410</wp:posOffset>
            </wp:positionH>
            <wp:positionV relativeFrom="paragraph">
              <wp:posOffset>1660525</wp:posOffset>
            </wp:positionV>
            <wp:extent cx="572135" cy="431800"/>
            <wp:effectExtent l="0" t="0" r="0" b="6350"/>
            <wp:wrapSquare wrapText="bothSides"/>
            <wp:docPr id="1430303569" name="Obrázek 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03569" name="Obrázek 4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3360" behindDoc="0" locked="0" layoutInCell="1" allowOverlap="1" wp14:anchorId="53045D19" wp14:editId="2E564BD3">
            <wp:simplePos x="0" y="0"/>
            <wp:positionH relativeFrom="column">
              <wp:posOffset>5053330</wp:posOffset>
            </wp:positionH>
            <wp:positionV relativeFrom="paragraph">
              <wp:posOffset>1660525</wp:posOffset>
            </wp:positionV>
            <wp:extent cx="467995" cy="431800"/>
            <wp:effectExtent l="0" t="0" r="8255" b="6350"/>
            <wp:wrapSquare wrapText="bothSides"/>
            <wp:docPr id="415049230" name="Obrázek 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49230" name="Obrázek 5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1312" behindDoc="0" locked="0" layoutInCell="1" allowOverlap="1" wp14:anchorId="334490BB" wp14:editId="29A2D813">
            <wp:simplePos x="0" y="0"/>
            <wp:positionH relativeFrom="margin">
              <wp:posOffset>4265930</wp:posOffset>
            </wp:positionH>
            <wp:positionV relativeFrom="paragraph">
              <wp:posOffset>1655445</wp:posOffset>
            </wp:positionV>
            <wp:extent cx="845820" cy="431800"/>
            <wp:effectExtent l="0" t="0" r="0" b="6350"/>
            <wp:wrapSquare wrapText="bothSides"/>
            <wp:docPr id="1399757103" name="Obrázek 6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57103" name="Obrázek 6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59264" behindDoc="0" locked="0" layoutInCell="1" allowOverlap="1" wp14:anchorId="5BD6DE5E" wp14:editId="24EA21E6">
            <wp:simplePos x="0" y="0"/>
            <wp:positionH relativeFrom="margin">
              <wp:posOffset>3815080</wp:posOffset>
            </wp:positionH>
            <wp:positionV relativeFrom="paragraph">
              <wp:posOffset>1655445</wp:posOffset>
            </wp:positionV>
            <wp:extent cx="460375" cy="431800"/>
            <wp:effectExtent l="0" t="0" r="0" b="6350"/>
            <wp:wrapSquare wrapText="bothSides"/>
            <wp:docPr id="2096601148" name="Obrázek 7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601148" name="Obrázek 7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072" w:rsidRPr="0085622D">
        <w:rPr>
          <w:rFonts w:cs="Open Sans"/>
          <w:i/>
          <w:iCs/>
          <w:sz w:val="20"/>
          <w:szCs w:val="20"/>
        </w:rPr>
        <w:t>Společnost FinGO je součástí lokální investiční skupiny InTeFi Capital podnikatele a investora Lukáše Nováka. Skupina vlastní a řídí české a slovenské společnosti z oblastí informačních technologií, financí, a real estate developmentu. Podíl vlastní například v technologické skupině BiQ Group, která vytváří komplexní a udržitelné IT projekty s budoucností. Společnost FinGO.sk byla založena před pěti lety a stala se jednou z nejrychleji rostoucích společností ve svém oboru na Slovensku. Více než 1100 odborníků působí ve všech 79 okresech Slovenska a stará se o téměř 110 000 spokojených klientů.</w:t>
      </w:r>
    </w:p>
    <w:sectPr w:rsidR="0096059C" w:rsidRPr="0085622D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CF375" w14:textId="77777777" w:rsidR="001079DE" w:rsidRDefault="001079DE" w:rsidP="00C00401">
      <w:r>
        <w:separator/>
      </w:r>
    </w:p>
  </w:endnote>
  <w:endnote w:type="continuationSeparator" w:id="0">
    <w:p w14:paraId="007E9754" w14:textId="77777777" w:rsidR="001079DE" w:rsidRDefault="001079DE" w:rsidP="00C0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E791658" w14:paraId="7B7E4F7F" w14:textId="77777777" w:rsidTr="7E791658">
      <w:trPr>
        <w:trHeight w:val="300"/>
      </w:trPr>
      <w:tc>
        <w:tcPr>
          <w:tcW w:w="3020" w:type="dxa"/>
        </w:tcPr>
        <w:p w14:paraId="15343DB0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102F4D46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01B44316" w14:textId="77777777" w:rsidR="7E791658" w:rsidRDefault="7E791658" w:rsidP="00C00401">
          <w:pPr>
            <w:pStyle w:val="Zhlav"/>
          </w:pPr>
        </w:p>
      </w:tc>
    </w:tr>
  </w:tbl>
  <w:p w14:paraId="37BCB74C" w14:textId="77777777" w:rsidR="7E791658" w:rsidRDefault="7E791658" w:rsidP="00C00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15713" w14:textId="77777777" w:rsidR="001079DE" w:rsidRDefault="001079DE" w:rsidP="00C00401">
      <w:r>
        <w:separator/>
      </w:r>
    </w:p>
  </w:footnote>
  <w:footnote w:type="continuationSeparator" w:id="0">
    <w:p w14:paraId="3028366F" w14:textId="77777777" w:rsidR="001079DE" w:rsidRDefault="001079DE" w:rsidP="00C0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CC11" w14:textId="77777777" w:rsidR="009B404E" w:rsidRPr="00C00401" w:rsidRDefault="009B404E" w:rsidP="00C00401">
    <w:pPr>
      <w:pStyle w:val="Zahlavi"/>
    </w:pPr>
    <w:r w:rsidRPr="00C00401">
      <w:drawing>
        <wp:anchor distT="0" distB="0" distL="114300" distR="114300" simplePos="0" relativeHeight="251658240" behindDoc="0" locked="0" layoutInCell="1" allowOverlap="1" wp14:anchorId="6845EDC8" wp14:editId="5DC0020C">
          <wp:simplePos x="0" y="0"/>
          <wp:positionH relativeFrom="column">
            <wp:posOffset>4310380</wp:posOffset>
          </wp:positionH>
          <wp:positionV relativeFrom="paragraph">
            <wp:posOffset>-325755</wp:posOffset>
          </wp:positionV>
          <wp:extent cx="1895475" cy="768985"/>
          <wp:effectExtent l="0" t="0" r="9525" b="0"/>
          <wp:wrapSquare wrapText="bothSides"/>
          <wp:docPr id="399986389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986389" name="Grafický objekt 399986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056159" w14:textId="77777777" w:rsidR="009B404E" w:rsidRDefault="009B404E" w:rsidP="00C004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7135C"/>
    <w:multiLevelType w:val="hybridMultilevel"/>
    <w:tmpl w:val="88DCF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438E0"/>
    <w:multiLevelType w:val="multilevel"/>
    <w:tmpl w:val="3358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AC5539"/>
    <w:multiLevelType w:val="multilevel"/>
    <w:tmpl w:val="6A6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BD040F"/>
    <w:multiLevelType w:val="multilevel"/>
    <w:tmpl w:val="D038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3E032A"/>
    <w:multiLevelType w:val="multilevel"/>
    <w:tmpl w:val="45FA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AA0531"/>
    <w:multiLevelType w:val="multilevel"/>
    <w:tmpl w:val="B1A4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321472"/>
    <w:multiLevelType w:val="multilevel"/>
    <w:tmpl w:val="1E2854C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72757161">
    <w:abstractNumId w:val="6"/>
  </w:num>
  <w:num w:numId="2" w16cid:durableId="363099003">
    <w:abstractNumId w:val="0"/>
  </w:num>
  <w:num w:numId="3" w16cid:durableId="1533155299">
    <w:abstractNumId w:val="4"/>
  </w:num>
  <w:num w:numId="4" w16cid:durableId="1809980726">
    <w:abstractNumId w:val="5"/>
  </w:num>
  <w:num w:numId="5" w16cid:durableId="1958484008">
    <w:abstractNumId w:val="3"/>
  </w:num>
  <w:num w:numId="6" w16cid:durableId="854686921">
    <w:abstractNumId w:val="1"/>
  </w:num>
  <w:num w:numId="7" w16cid:durableId="1984118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96"/>
    <w:rsid w:val="00004410"/>
    <w:rsid w:val="000073D8"/>
    <w:rsid w:val="00010B20"/>
    <w:rsid w:val="000232BB"/>
    <w:rsid w:val="00027827"/>
    <w:rsid w:val="000460C4"/>
    <w:rsid w:val="00052C56"/>
    <w:rsid w:val="00065953"/>
    <w:rsid w:val="00073C2D"/>
    <w:rsid w:val="00076806"/>
    <w:rsid w:val="00083A38"/>
    <w:rsid w:val="00085FBE"/>
    <w:rsid w:val="00092FF4"/>
    <w:rsid w:val="00094ABB"/>
    <w:rsid w:val="000962CF"/>
    <w:rsid w:val="00096A89"/>
    <w:rsid w:val="000970DD"/>
    <w:rsid w:val="000B0146"/>
    <w:rsid w:val="000B6269"/>
    <w:rsid w:val="000D1BEF"/>
    <w:rsid w:val="000D2673"/>
    <w:rsid w:val="000D6D02"/>
    <w:rsid w:val="000E0D1B"/>
    <w:rsid w:val="000E5A63"/>
    <w:rsid w:val="000E603B"/>
    <w:rsid w:val="0010033D"/>
    <w:rsid w:val="001036E9"/>
    <w:rsid w:val="001079DE"/>
    <w:rsid w:val="00114A22"/>
    <w:rsid w:val="00136991"/>
    <w:rsid w:val="00141690"/>
    <w:rsid w:val="00145A00"/>
    <w:rsid w:val="00151752"/>
    <w:rsid w:val="00154A71"/>
    <w:rsid w:val="00155502"/>
    <w:rsid w:val="00160E3C"/>
    <w:rsid w:val="001653DF"/>
    <w:rsid w:val="001726F3"/>
    <w:rsid w:val="0017389C"/>
    <w:rsid w:val="00180E6A"/>
    <w:rsid w:val="001A2107"/>
    <w:rsid w:val="001A21A3"/>
    <w:rsid w:val="001B4EA0"/>
    <w:rsid w:val="001C1F70"/>
    <w:rsid w:val="001C7637"/>
    <w:rsid w:val="001D36DC"/>
    <w:rsid w:val="001D588D"/>
    <w:rsid w:val="001E30CC"/>
    <w:rsid w:val="001E6AB9"/>
    <w:rsid w:val="001E7717"/>
    <w:rsid w:val="001F3BEA"/>
    <w:rsid w:val="002049BE"/>
    <w:rsid w:val="00204ED4"/>
    <w:rsid w:val="00205CB2"/>
    <w:rsid w:val="00217E22"/>
    <w:rsid w:val="00222C93"/>
    <w:rsid w:val="00233E02"/>
    <w:rsid w:val="00245AAA"/>
    <w:rsid w:val="0025163A"/>
    <w:rsid w:val="00274D63"/>
    <w:rsid w:val="00280C2B"/>
    <w:rsid w:val="00283CFC"/>
    <w:rsid w:val="00284142"/>
    <w:rsid w:val="00287DF5"/>
    <w:rsid w:val="00291B6E"/>
    <w:rsid w:val="002A1B55"/>
    <w:rsid w:val="002A62CB"/>
    <w:rsid w:val="002C382A"/>
    <w:rsid w:val="002F5FAF"/>
    <w:rsid w:val="00306401"/>
    <w:rsid w:val="00317670"/>
    <w:rsid w:val="00320C20"/>
    <w:rsid w:val="003679BA"/>
    <w:rsid w:val="003760BD"/>
    <w:rsid w:val="00377849"/>
    <w:rsid w:val="00380ED4"/>
    <w:rsid w:val="00381847"/>
    <w:rsid w:val="0038225D"/>
    <w:rsid w:val="0038493D"/>
    <w:rsid w:val="003A04E7"/>
    <w:rsid w:val="003A6C97"/>
    <w:rsid w:val="003B238C"/>
    <w:rsid w:val="003B23D1"/>
    <w:rsid w:val="003B276A"/>
    <w:rsid w:val="003E1DFE"/>
    <w:rsid w:val="003E5D6E"/>
    <w:rsid w:val="003F20AC"/>
    <w:rsid w:val="00414E7C"/>
    <w:rsid w:val="004212BB"/>
    <w:rsid w:val="00423B80"/>
    <w:rsid w:val="00435F26"/>
    <w:rsid w:val="00436084"/>
    <w:rsid w:val="004550AD"/>
    <w:rsid w:val="00465D61"/>
    <w:rsid w:val="00466237"/>
    <w:rsid w:val="004741F4"/>
    <w:rsid w:val="00475A28"/>
    <w:rsid w:val="00480C54"/>
    <w:rsid w:val="004866AD"/>
    <w:rsid w:val="004877F4"/>
    <w:rsid w:val="004907BA"/>
    <w:rsid w:val="004D0F7F"/>
    <w:rsid w:val="005002F0"/>
    <w:rsid w:val="00523422"/>
    <w:rsid w:val="00523961"/>
    <w:rsid w:val="00542979"/>
    <w:rsid w:val="0055794D"/>
    <w:rsid w:val="00577EEE"/>
    <w:rsid w:val="00581AC6"/>
    <w:rsid w:val="00583C0E"/>
    <w:rsid w:val="00585167"/>
    <w:rsid w:val="005936A5"/>
    <w:rsid w:val="005970E4"/>
    <w:rsid w:val="005A3AF4"/>
    <w:rsid w:val="005A4358"/>
    <w:rsid w:val="005B2544"/>
    <w:rsid w:val="005C43E7"/>
    <w:rsid w:val="005D5F6D"/>
    <w:rsid w:val="005E2C7A"/>
    <w:rsid w:val="005E3B20"/>
    <w:rsid w:val="00601121"/>
    <w:rsid w:val="006012BD"/>
    <w:rsid w:val="0060356E"/>
    <w:rsid w:val="00605586"/>
    <w:rsid w:val="006102A2"/>
    <w:rsid w:val="006258AB"/>
    <w:rsid w:val="00625B6D"/>
    <w:rsid w:val="00633335"/>
    <w:rsid w:val="00640BEE"/>
    <w:rsid w:val="00640C88"/>
    <w:rsid w:val="006703ED"/>
    <w:rsid w:val="00671152"/>
    <w:rsid w:val="0068301F"/>
    <w:rsid w:val="00690A80"/>
    <w:rsid w:val="006A1252"/>
    <w:rsid w:val="006A1663"/>
    <w:rsid w:val="006A6E08"/>
    <w:rsid w:val="006B3147"/>
    <w:rsid w:val="006B5CF3"/>
    <w:rsid w:val="006C0694"/>
    <w:rsid w:val="006C1B41"/>
    <w:rsid w:val="006E290E"/>
    <w:rsid w:val="006F1D3A"/>
    <w:rsid w:val="006F2B8E"/>
    <w:rsid w:val="006F59BC"/>
    <w:rsid w:val="00712072"/>
    <w:rsid w:val="00714664"/>
    <w:rsid w:val="0071539D"/>
    <w:rsid w:val="0071584B"/>
    <w:rsid w:val="007211E6"/>
    <w:rsid w:val="00727AAB"/>
    <w:rsid w:val="0073629A"/>
    <w:rsid w:val="00740EB7"/>
    <w:rsid w:val="007447AA"/>
    <w:rsid w:val="007570DA"/>
    <w:rsid w:val="00775798"/>
    <w:rsid w:val="007774BA"/>
    <w:rsid w:val="00787BE3"/>
    <w:rsid w:val="00792601"/>
    <w:rsid w:val="0079453F"/>
    <w:rsid w:val="00795BB7"/>
    <w:rsid w:val="00797A44"/>
    <w:rsid w:val="0079C103"/>
    <w:rsid w:val="007A0EAA"/>
    <w:rsid w:val="007A5EA9"/>
    <w:rsid w:val="007A6DF6"/>
    <w:rsid w:val="007B0B03"/>
    <w:rsid w:val="007B3ED2"/>
    <w:rsid w:val="007C6788"/>
    <w:rsid w:val="007D4412"/>
    <w:rsid w:val="007D7647"/>
    <w:rsid w:val="007F06C6"/>
    <w:rsid w:val="007F4550"/>
    <w:rsid w:val="00802969"/>
    <w:rsid w:val="00803EB2"/>
    <w:rsid w:val="00807679"/>
    <w:rsid w:val="008118A6"/>
    <w:rsid w:val="00820CD5"/>
    <w:rsid w:val="008210F1"/>
    <w:rsid w:val="008339F9"/>
    <w:rsid w:val="00835FA4"/>
    <w:rsid w:val="0083675C"/>
    <w:rsid w:val="008435B7"/>
    <w:rsid w:val="008463DB"/>
    <w:rsid w:val="00851DFC"/>
    <w:rsid w:val="0085444E"/>
    <w:rsid w:val="00855AD1"/>
    <w:rsid w:val="0085622D"/>
    <w:rsid w:val="008575AC"/>
    <w:rsid w:val="00863DB8"/>
    <w:rsid w:val="008725ED"/>
    <w:rsid w:val="008769C2"/>
    <w:rsid w:val="00893CF1"/>
    <w:rsid w:val="00896196"/>
    <w:rsid w:val="0089657F"/>
    <w:rsid w:val="008A6C2D"/>
    <w:rsid w:val="008B182D"/>
    <w:rsid w:val="008B3101"/>
    <w:rsid w:val="008B76D7"/>
    <w:rsid w:val="008D6D4E"/>
    <w:rsid w:val="008D6DA3"/>
    <w:rsid w:val="008E3EA0"/>
    <w:rsid w:val="008E4261"/>
    <w:rsid w:val="008E5C9F"/>
    <w:rsid w:val="008F1B78"/>
    <w:rsid w:val="008F4BB2"/>
    <w:rsid w:val="008F7DD5"/>
    <w:rsid w:val="009006D4"/>
    <w:rsid w:val="00900CC8"/>
    <w:rsid w:val="0090746C"/>
    <w:rsid w:val="00912EE6"/>
    <w:rsid w:val="009136E9"/>
    <w:rsid w:val="00913811"/>
    <w:rsid w:val="009209B3"/>
    <w:rsid w:val="00921DD5"/>
    <w:rsid w:val="00942094"/>
    <w:rsid w:val="00951667"/>
    <w:rsid w:val="009563F0"/>
    <w:rsid w:val="00957E06"/>
    <w:rsid w:val="0096059C"/>
    <w:rsid w:val="0096146E"/>
    <w:rsid w:val="0096749E"/>
    <w:rsid w:val="009675DB"/>
    <w:rsid w:val="009726B3"/>
    <w:rsid w:val="00977E0B"/>
    <w:rsid w:val="00985B26"/>
    <w:rsid w:val="009868A4"/>
    <w:rsid w:val="0099159B"/>
    <w:rsid w:val="00994C05"/>
    <w:rsid w:val="009A6856"/>
    <w:rsid w:val="009B2515"/>
    <w:rsid w:val="009B404E"/>
    <w:rsid w:val="009B4EE8"/>
    <w:rsid w:val="009B6497"/>
    <w:rsid w:val="009B7112"/>
    <w:rsid w:val="009C33BB"/>
    <w:rsid w:val="009C582A"/>
    <w:rsid w:val="009D3A0E"/>
    <w:rsid w:val="009D782F"/>
    <w:rsid w:val="009E6510"/>
    <w:rsid w:val="00A12266"/>
    <w:rsid w:val="00A25E47"/>
    <w:rsid w:val="00A37C88"/>
    <w:rsid w:val="00A44B03"/>
    <w:rsid w:val="00A64445"/>
    <w:rsid w:val="00A728B2"/>
    <w:rsid w:val="00AA4991"/>
    <w:rsid w:val="00AB0DC6"/>
    <w:rsid w:val="00AB0F6F"/>
    <w:rsid w:val="00AB4F6D"/>
    <w:rsid w:val="00AB5CB4"/>
    <w:rsid w:val="00AC7B69"/>
    <w:rsid w:val="00AF0451"/>
    <w:rsid w:val="00AF1D50"/>
    <w:rsid w:val="00AF4940"/>
    <w:rsid w:val="00B04560"/>
    <w:rsid w:val="00B05318"/>
    <w:rsid w:val="00B07FD3"/>
    <w:rsid w:val="00B13DE2"/>
    <w:rsid w:val="00B164B1"/>
    <w:rsid w:val="00B20DE5"/>
    <w:rsid w:val="00B21DC7"/>
    <w:rsid w:val="00B22509"/>
    <w:rsid w:val="00B33F2B"/>
    <w:rsid w:val="00B417EB"/>
    <w:rsid w:val="00B53C86"/>
    <w:rsid w:val="00B61EF6"/>
    <w:rsid w:val="00B6592C"/>
    <w:rsid w:val="00B73C1A"/>
    <w:rsid w:val="00B75A21"/>
    <w:rsid w:val="00B76FF0"/>
    <w:rsid w:val="00BA0D1B"/>
    <w:rsid w:val="00BB4CBA"/>
    <w:rsid w:val="00BB7DEE"/>
    <w:rsid w:val="00BC4964"/>
    <w:rsid w:val="00BC664E"/>
    <w:rsid w:val="00BD0DBD"/>
    <w:rsid w:val="00BE2144"/>
    <w:rsid w:val="00BF578E"/>
    <w:rsid w:val="00BF6153"/>
    <w:rsid w:val="00C00401"/>
    <w:rsid w:val="00C0609F"/>
    <w:rsid w:val="00C10D7B"/>
    <w:rsid w:val="00C164FC"/>
    <w:rsid w:val="00C3652F"/>
    <w:rsid w:val="00C37F48"/>
    <w:rsid w:val="00C4358C"/>
    <w:rsid w:val="00C43B7E"/>
    <w:rsid w:val="00C4781E"/>
    <w:rsid w:val="00C5060F"/>
    <w:rsid w:val="00C52D76"/>
    <w:rsid w:val="00C576E3"/>
    <w:rsid w:val="00C6449E"/>
    <w:rsid w:val="00C6772C"/>
    <w:rsid w:val="00C82F07"/>
    <w:rsid w:val="00C872FA"/>
    <w:rsid w:val="00C93FFF"/>
    <w:rsid w:val="00C97907"/>
    <w:rsid w:val="00CA2DF4"/>
    <w:rsid w:val="00CA679E"/>
    <w:rsid w:val="00CB1CEE"/>
    <w:rsid w:val="00CC1AC9"/>
    <w:rsid w:val="00CC4E6E"/>
    <w:rsid w:val="00CD7CB4"/>
    <w:rsid w:val="00CE36CE"/>
    <w:rsid w:val="00CE5399"/>
    <w:rsid w:val="00CF09EA"/>
    <w:rsid w:val="00D0331D"/>
    <w:rsid w:val="00D07D7E"/>
    <w:rsid w:val="00D20C22"/>
    <w:rsid w:val="00D250C7"/>
    <w:rsid w:val="00D35FAC"/>
    <w:rsid w:val="00D525EB"/>
    <w:rsid w:val="00D6706A"/>
    <w:rsid w:val="00D742F3"/>
    <w:rsid w:val="00D76BFE"/>
    <w:rsid w:val="00D773A8"/>
    <w:rsid w:val="00D86F63"/>
    <w:rsid w:val="00DA6606"/>
    <w:rsid w:val="00DA6895"/>
    <w:rsid w:val="00DC040C"/>
    <w:rsid w:val="00DD14F7"/>
    <w:rsid w:val="00DF0E49"/>
    <w:rsid w:val="00DF2E9C"/>
    <w:rsid w:val="00DF5859"/>
    <w:rsid w:val="00E04DD7"/>
    <w:rsid w:val="00E0781B"/>
    <w:rsid w:val="00E07AB6"/>
    <w:rsid w:val="00E1263A"/>
    <w:rsid w:val="00E21E20"/>
    <w:rsid w:val="00E25385"/>
    <w:rsid w:val="00E37F04"/>
    <w:rsid w:val="00E42C22"/>
    <w:rsid w:val="00E47ADA"/>
    <w:rsid w:val="00E50585"/>
    <w:rsid w:val="00E537B6"/>
    <w:rsid w:val="00E57FF2"/>
    <w:rsid w:val="00E733EF"/>
    <w:rsid w:val="00E75A42"/>
    <w:rsid w:val="00E766C4"/>
    <w:rsid w:val="00E90531"/>
    <w:rsid w:val="00E909D0"/>
    <w:rsid w:val="00EA2FFD"/>
    <w:rsid w:val="00EA3881"/>
    <w:rsid w:val="00EB001C"/>
    <w:rsid w:val="00EB106F"/>
    <w:rsid w:val="00EC1799"/>
    <w:rsid w:val="00EC3B34"/>
    <w:rsid w:val="00ED3218"/>
    <w:rsid w:val="00EE60A2"/>
    <w:rsid w:val="00EF2587"/>
    <w:rsid w:val="00EF569D"/>
    <w:rsid w:val="00F0158F"/>
    <w:rsid w:val="00F13F91"/>
    <w:rsid w:val="00F17089"/>
    <w:rsid w:val="00F17816"/>
    <w:rsid w:val="00F2379E"/>
    <w:rsid w:val="00F32CCA"/>
    <w:rsid w:val="00F33647"/>
    <w:rsid w:val="00F43C57"/>
    <w:rsid w:val="00F44CAB"/>
    <w:rsid w:val="00F47D7B"/>
    <w:rsid w:val="00F50622"/>
    <w:rsid w:val="00F5087F"/>
    <w:rsid w:val="00F53CB5"/>
    <w:rsid w:val="00F60A3D"/>
    <w:rsid w:val="00F643F8"/>
    <w:rsid w:val="00F67211"/>
    <w:rsid w:val="00F72A42"/>
    <w:rsid w:val="00F72AE4"/>
    <w:rsid w:val="00F74EC2"/>
    <w:rsid w:val="00F76739"/>
    <w:rsid w:val="00F91AA2"/>
    <w:rsid w:val="00FB2B67"/>
    <w:rsid w:val="00FC23AF"/>
    <w:rsid w:val="00FD1005"/>
    <w:rsid w:val="00FD22E2"/>
    <w:rsid w:val="00FD3481"/>
    <w:rsid w:val="00FD7009"/>
    <w:rsid w:val="00FE09F8"/>
    <w:rsid w:val="00FF299D"/>
    <w:rsid w:val="00FF60A7"/>
    <w:rsid w:val="011533B8"/>
    <w:rsid w:val="0292A6C4"/>
    <w:rsid w:val="029DC66C"/>
    <w:rsid w:val="041D961F"/>
    <w:rsid w:val="042E7725"/>
    <w:rsid w:val="19FDC650"/>
    <w:rsid w:val="22632DE7"/>
    <w:rsid w:val="28E7E31B"/>
    <w:rsid w:val="2EE4291B"/>
    <w:rsid w:val="3EEE3085"/>
    <w:rsid w:val="4323EA48"/>
    <w:rsid w:val="4ACD1488"/>
    <w:rsid w:val="4DD12B92"/>
    <w:rsid w:val="5B5408C7"/>
    <w:rsid w:val="68D1F57C"/>
    <w:rsid w:val="6F388BE0"/>
    <w:rsid w:val="74F34B79"/>
    <w:rsid w:val="75A3F786"/>
    <w:rsid w:val="79D34523"/>
    <w:rsid w:val="7E7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CB7AD"/>
  <w15:chartTrackingRefBased/>
  <w15:docId w15:val="{DCD5DF3D-EA73-4310-B694-56C96E98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0401"/>
    <w:pPr>
      <w:jc w:val="both"/>
    </w:pPr>
    <w:rPr>
      <w:rFonts w:ascii="Open Sans" w:hAnsi="Open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C00401"/>
    <w:pPr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04E"/>
  </w:style>
  <w:style w:type="paragraph" w:styleId="Zpat">
    <w:name w:val="footer"/>
    <w:basedOn w:val="Normln"/>
    <w:link w:val="Zpat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04E"/>
  </w:style>
  <w:style w:type="character" w:customStyle="1" w:styleId="Nadpis1Char">
    <w:name w:val="Nadpis 1 Char"/>
    <w:basedOn w:val="Standardnpsmoodstavce"/>
    <w:link w:val="Nadpis1"/>
    <w:uiPriority w:val="9"/>
    <w:rsid w:val="00C00401"/>
    <w:rPr>
      <w:rFonts w:ascii="Open Sans" w:hAnsi="Open Sans"/>
      <w:b/>
      <w:bCs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C7B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7B6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semiHidden/>
    <w:unhideWhenUsed/>
    <w:rsid w:val="00C0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erex">
    <w:name w:val="Perex"/>
    <w:basedOn w:val="Normln"/>
    <w:qFormat/>
    <w:rsid w:val="00C00401"/>
    <w:rPr>
      <w:b/>
      <w:bCs/>
    </w:rPr>
  </w:style>
  <w:style w:type="paragraph" w:customStyle="1" w:styleId="Boilerplate">
    <w:name w:val="Boiler plate"/>
    <w:basedOn w:val="Normln"/>
    <w:qFormat/>
    <w:rsid w:val="00C00401"/>
    <w:rPr>
      <w:i/>
      <w:iCs/>
      <w:sz w:val="20"/>
      <w:szCs w:val="20"/>
    </w:rPr>
  </w:style>
  <w:style w:type="paragraph" w:customStyle="1" w:styleId="Zahlavi">
    <w:name w:val="Zahlavi"/>
    <w:basedOn w:val="Zhlav"/>
    <w:qFormat/>
    <w:rsid w:val="00C00401"/>
    <w:rPr>
      <w:noProof/>
      <w:sz w:val="30"/>
      <w:szCs w:val="30"/>
    </w:rPr>
  </w:style>
  <w:style w:type="paragraph" w:customStyle="1" w:styleId="Citace">
    <w:name w:val="Citace"/>
    <w:basedOn w:val="Normln"/>
    <w:qFormat/>
    <w:rsid w:val="001E6AB9"/>
    <w:rPr>
      <w:i/>
      <w:iCs/>
    </w:rPr>
  </w:style>
  <w:style w:type="paragraph" w:styleId="Revize">
    <w:name w:val="Revision"/>
    <w:hidden/>
    <w:uiPriority w:val="99"/>
    <w:semiHidden/>
    <w:rsid w:val="00136991"/>
    <w:pPr>
      <w:spacing w:after="0" w:line="240" w:lineRule="auto"/>
    </w:pPr>
    <w:rPr>
      <w:rFonts w:ascii="Open Sans" w:hAnsi="Open Sans"/>
    </w:rPr>
  </w:style>
  <w:style w:type="character" w:styleId="Odkaznakoment">
    <w:name w:val="annotation reference"/>
    <w:basedOn w:val="Standardnpsmoodstavce"/>
    <w:uiPriority w:val="99"/>
    <w:semiHidden/>
    <w:unhideWhenUsed/>
    <w:rsid w:val="00FB2B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B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2B67"/>
    <w:rPr>
      <w:rFonts w:ascii="Open Sans" w:hAnsi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B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B67"/>
    <w:rPr>
      <w:rFonts w:ascii="Open Sans" w:hAnsi="Open Sans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010B20"/>
    <w:rPr>
      <w:i/>
      <w:iCs/>
    </w:rPr>
  </w:style>
  <w:style w:type="paragraph" w:styleId="Odstavecseseznamem">
    <w:name w:val="List Paragraph"/>
    <w:basedOn w:val="Normln"/>
    <w:uiPriority w:val="34"/>
    <w:qFormat/>
    <w:rsid w:val="00C64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witter.com/fingocz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facebook.com/fingo.c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@fingocz314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fingo-cz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\OneDrive%20-%20Crest%20Communications,%20a.s\Plocha%20(old)\FinGO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987C92-30E1-4D02-AC4F-FE070F618B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6E8602-1146-4A4E-9988-0A68C2B718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682881-D906-41BE-9E8E-E6CECCD9DC59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4.xml><?xml version="1.0" encoding="utf-8"?>
<ds:datastoreItem xmlns:ds="http://schemas.openxmlformats.org/officeDocument/2006/customXml" ds:itemID="{9FBE2309-3517-405E-9025-EFF7B9D6E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FinGO_Sablona.dotx</Template>
  <TotalTime>12</TotalTime>
  <Pages>2</Pages>
  <Words>590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Knapp</dc:creator>
  <cp:keywords/>
  <dc:description/>
  <cp:lastModifiedBy>Jakub Knapp</cp:lastModifiedBy>
  <cp:revision>5</cp:revision>
  <dcterms:created xsi:type="dcterms:W3CDTF">2024-06-20T12:28:00Z</dcterms:created>
  <dcterms:modified xsi:type="dcterms:W3CDTF">2024-07-10T10:18:00Z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